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0" w:rsidRPr="00EC5775" w:rsidRDefault="00067540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067540" w:rsidRPr="00EC5775" w:rsidRDefault="000675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b/>
          <w:i/>
          <w:szCs w:val="22"/>
        </w:rPr>
      </w:pPr>
      <w:r w:rsidRPr="00EC5775">
        <w:rPr>
          <w:rFonts w:ascii="Times New Roman" w:hAnsi="Times New Roman" w:cs="Times New Roman"/>
          <w:b/>
          <w:i/>
          <w:szCs w:val="22"/>
        </w:rPr>
        <w:t>Приказ Минздрава России от 13.03.2019 N 124н (ред. от 02.09.2019)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(Зарегистрировано в Минюсте России 24.04.2019 N 54495)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7540" w:rsidRPr="00EC5775" w:rsidRDefault="00067540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067540" w:rsidRPr="00EC5775" w:rsidRDefault="00067540" w:rsidP="0006754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Приложение</w:t>
      </w:r>
    </w:p>
    <w:p w:rsidR="00067540" w:rsidRPr="00EC5775" w:rsidRDefault="00067540" w:rsidP="0006754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к приказу Министерства здравоохранения</w:t>
      </w:r>
    </w:p>
    <w:p w:rsidR="00067540" w:rsidRPr="00EC5775" w:rsidRDefault="00067540" w:rsidP="0006754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Российской Федерации</w:t>
      </w:r>
    </w:p>
    <w:p w:rsidR="00067540" w:rsidRPr="00EC5775" w:rsidRDefault="00067540" w:rsidP="0006754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от 13.03.2019 N 124н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5775">
        <w:rPr>
          <w:rFonts w:ascii="Times New Roman" w:hAnsi="Times New Roman" w:cs="Times New Roman"/>
          <w:sz w:val="26"/>
          <w:szCs w:val="26"/>
        </w:rPr>
        <w:t>ПОРЯДОК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5775">
        <w:rPr>
          <w:rFonts w:ascii="Times New Roman" w:hAnsi="Times New Roman" w:cs="Times New Roman"/>
          <w:sz w:val="26"/>
          <w:szCs w:val="26"/>
        </w:rPr>
        <w:t>ПРОВЕДЕНИЯ ПРОФИЛАКТИЧЕСКОГО МЕДИЦИНСКОГО ОСМОТРА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5775">
        <w:rPr>
          <w:rFonts w:ascii="Times New Roman" w:hAnsi="Times New Roman" w:cs="Times New Roman"/>
          <w:sz w:val="26"/>
          <w:szCs w:val="26"/>
        </w:rPr>
        <w:t>И ДИСПАНСЕРИЗАЦИИ ОПРЕДЕЛЕННЫХ ГРУПП ВЗРОСЛОГО НАСЕЛЕНИЯ</w:t>
      </w:r>
    </w:p>
    <w:p w:rsidR="00067540" w:rsidRPr="00EC5775" w:rsidRDefault="0006754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775" w:rsidRPr="00EC5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775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775">
              <w:rPr>
                <w:rFonts w:ascii="Times New Roman" w:hAnsi="Times New Roman" w:cs="Times New Roman"/>
                <w:szCs w:val="22"/>
              </w:rPr>
              <w:t>(в ред. Приказа Минздрава России от 02.09.2019 N 716н)</w:t>
            </w:r>
          </w:p>
        </w:tc>
      </w:tr>
    </w:tbl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1) работающие граждане;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2) неработающие граждане;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3) обучающиеся в образовательных организациях по очной форме.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&lt;1&gt; Часть 4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3. Медицинские мероприятия, проводимые в рамках настоящего порядка, направлены на: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lastRenderedPageBreak/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4. Профилактический медицинский осмотр проводится ежегодно: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1) в качестве самостоятельного мероприятия;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2) в рамках диспансеризации;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067540" w:rsidRPr="00EC5775" w:rsidRDefault="0006754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775" w:rsidRPr="00EC5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775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EC5775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75">
              <w:rPr>
                <w:rFonts w:ascii="Times New Roman" w:hAnsi="Times New Roman" w:cs="Times New Roman"/>
                <w:sz w:val="24"/>
                <w:szCs w:val="24"/>
              </w:rPr>
              <w:t>О проведении в 2019 и 2020 годах Всероссийской диспансеризации взрослого населения Российской Федерации см. Распоряжение Правительства РФ от 27.06.2019 N 1391-р.</w:t>
            </w:r>
          </w:p>
        </w:tc>
      </w:tr>
    </w:tbl>
    <w:p w:rsidR="00067540" w:rsidRPr="00EC5775" w:rsidRDefault="0006754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5. Диспансеризация проводится &lt;2&gt;: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1) 1 раз в три года в возрасте от 18 до 39 лет включительно;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2) ежегодно в возрасте 40 лет и старше, а также в отношении отдельных категорий граждан, включая: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соответствии со статьей 4, подпунктом 11 пункта 1 статьи 14 и пунктом 2 статьи 15 Федерального закона от 12 января 1995 г. N 5-ФЗ "О ветеранах" (далее - Федеральный закон N 5-ФЗ) (Собрание законодательства Российской Федерации, 1995, N </w:t>
      </w:r>
      <w:r w:rsidRPr="00EC5775">
        <w:rPr>
          <w:rFonts w:ascii="Times New Roman" w:hAnsi="Times New Roman" w:cs="Times New Roman"/>
          <w:sz w:val="24"/>
          <w:szCs w:val="24"/>
        </w:rPr>
        <w:lastRenderedPageBreak/>
        <w:t>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3967; N 48, ст. 6724; 2016, N 22, ст. 3097; 2017, N 31, ст. 4766).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соответствии с подпунктом 1 пункта 2 статьи 18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N 31, ст. 4206; N 50, ст. 6609; 2013, N 48, ст. 6165; 2015, N 27, ст. 3967, N 48, ст. 6724; 2016, N 22, ст. 3097; 2017, N 31, ст. 4766; N 45, ст. 6581).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соответствии с частью 8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соответствии со статьей 185.1 Трудового кодекса Российской Федерации (Собрание законодательства Российской Федерации, 2002, N 1, ст. 3; 2018, N 41, ст. 6193).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пунктами 16 - 18 настоящего порядка и приложениями N 1 и N 2 к настоящему порядку.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lastRenderedPageBreak/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(абзац введен Приказом Минздрава России от 02.09.2019 N 716н)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имплантации)", "хирургии" или "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>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>")" (Собрание законодательства Российской Федерации, 2012, N 17, ст. 1965; N 37, ст. 5002; 2013, N 3, ст. 207; N 16, ст. 1970; 2016, N 40, ст. 5738; N 51, ст. 7379).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Порядком выдачи медицинскими организациями справок и медицинских заключений, утвержденным </w:t>
      </w:r>
      <w:r w:rsidRPr="00EC5775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здравоохранения и социального развития Российской Федерации от 2 мая 2012 г. N 441н &lt;7.1&gt;.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(абзац введен Приказом Минздрава России от 02.09.2019 N 716н)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&lt;7.1&gt; Зарегистрирован Министерством юстиции Российской Федерации 29 мая 2012 г., регистрационный N 24366.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(сноска введена Приказом Минздрава России от 02.09.2019 N 716н)</w:t>
      </w: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N 323-ФЗ.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775">
        <w:rPr>
          <w:rFonts w:ascii="Times New Roman" w:hAnsi="Times New Roman" w:cs="Times New Roman"/>
          <w:sz w:val="24"/>
          <w:szCs w:val="24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108н &lt;8&gt; (далее - Правила обязательного медицинского страхования).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(в ред. Приказа Минздрава России от 02.09.2019 N 716н)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&lt;8&gt; Зарегистрирован Министерством юстиции Российской Федерации 17 мая 2019 г., регистрационный N 54643.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(сноска в ред. Приказа Минздрава России от 02.09.2019 N 716н)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775">
        <w:rPr>
          <w:rFonts w:ascii="Times New Roman" w:hAnsi="Times New Roman" w:cs="Times New Roman"/>
          <w:sz w:val="24"/>
          <w:szCs w:val="24"/>
        </w:rP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социального развития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 xml:space="preserve">Российской Федерации от 23 марта 2012 г. N 252н "Об утверждении Порядка возложения на фельдшера, </w:t>
      </w:r>
      <w:r w:rsidRPr="00EC5775">
        <w:rPr>
          <w:rFonts w:ascii="Times New Roman" w:hAnsi="Times New Roman" w:cs="Times New Roman"/>
          <w:sz w:val="24"/>
          <w:szCs w:val="24"/>
        </w:rPr>
        <w:lastRenderedPageBreak/>
        <w:t>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и психотропные лекарственные препараты" &lt;9&gt;.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 w:rsidRPr="00EC5775">
        <w:rPr>
          <w:rFonts w:ascii="Times New Roman" w:hAnsi="Times New Roman" w:cs="Times New Roman"/>
          <w:sz w:val="24"/>
          <w:szCs w:val="24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расчета на основании антропометрии (измерение роста, массы тела, окружности талии) индекса массы тела;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измерения артериального давления на периферических артериях;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определения уровня общего холестерина в крови;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определения уровня глюкозы в крови натощак;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электрокардиографии в покое;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измерения внутриглазного давления;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приложению N 2 к настоящему порядку;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определения факторов риска и других патологических состояний и заболеваний, </w:t>
      </w:r>
      <w:r w:rsidRPr="00EC5775">
        <w:rPr>
          <w:rFonts w:ascii="Times New Roman" w:hAnsi="Times New Roman" w:cs="Times New Roman"/>
          <w:sz w:val="24"/>
          <w:szCs w:val="24"/>
        </w:rPr>
        <w:lastRenderedPageBreak/>
        <w:t>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определения относительного 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0"/>
      <w:bookmarkEnd w:id="2"/>
      <w:proofErr w:type="gramStart"/>
      <w:r w:rsidRPr="00EC5775">
        <w:rPr>
          <w:rFonts w:ascii="Times New Roman" w:hAnsi="Times New Roman" w:cs="Times New Roman"/>
          <w:sz w:val="24"/>
          <w:szCs w:val="24"/>
        </w:rP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здоровья в объеме, предусмотренном в подпункте 11 пункта 16 настоящего порядка;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частью 3 статьи 97 Федерального закона N 323-ФЗ Министерством здравоохранения Российской Федерации (далее - карта учета диспансеризации);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775">
        <w:rPr>
          <w:rFonts w:ascii="Times New Roman" w:hAnsi="Times New Roman" w:cs="Times New Roman"/>
          <w:sz w:val="24"/>
          <w:szCs w:val="24"/>
        </w:rPr>
        <w:t>8) информирование граждан о возможности медицинского освидетельствования для выявления ВИЧ-инфекции в соответствии со статьей 7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&lt;10&gt; Собрание законодательства Российской Федерации, 1995, N 14, ст. 1212; 2004, N 35, ст. 3607; 2013, N 48, ст. 6165.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lastRenderedPageBreak/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775">
        <w:rPr>
          <w:rFonts w:ascii="Times New Roman" w:hAnsi="Times New Roman" w:cs="Times New Roman"/>
          <w:sz w:val="24"/>
          <w:szCs w:val="24"/>
        </w:rPr>
        <w:t>2) прием (осмотр) по результатам профилактического медицинского осмотра, в том числе граждан, направленных в соответствии с подпунктом 4 пункта 13 и подпунктом 6 пункта 15 настоящего порядка, в объеме, предусмотренном в подпункте 11 пункта 16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подпункте 13 пункта 18 настоящего порядка;</w:t>
      </w:r>
      <w:proofErr w:type="gramEnd"/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4) подведение итогов проведения профилактического медицинского осмотра и диспансеризации на участке;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5)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подпунктами 1, 3, абзацами первым - десятым, двенадцатым, тринадцатым подпункта 4, 5, 7 - 9 пункта 15 настоящего порядка.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EC5775">
        <w:rPr>
          <w:rFonts w:ascii="Times New Roman" w:hAnsi="Times New Roman" w:cs="Times New Roman"/>
          <w:sz w:val="24"/>
          <w:szCs w:val="24"/>
        </w:rP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2) участие в информировании населения, находящегося на медицинском </w:t>
      </w:r>
      <w:r w:rsidRPr="00EC5775">
        <w:rPr>
          <w:rFonts w:ascii="Times New Roman" w:hAnsi="Times New Roman" w:cs="Times New Roman"/>
          <w:sz w:val="24"/>
          <w:szCs w:val="24"/>
        </w:rPr>
        <w:lastRenderedPageBreak/>
        <w:t>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EC5775">
        <w:rPr>
          <w:rFonts w:ascii="Times New Roman" w:hAnsi="Times New Roman" w:cs="Times New Roman"/>
          <w:sz w:val="24"/>
          <w:szCs w:val="24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EC5775">
        <w:rPr>
          <w:rFonts w:ascii="Times New Roman" w:hAnsi="Times New Roman" w:cs="Times New Roman"/>
          <w:sz w:val="24"/>
          <w:szCs w:val="24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анкетирования;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расчета на основании антропометрии (измерение роста, массы тела, окружности талии) индекса массы тела;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измерения артериального давления на периферических артериях;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определения уровня общего холестерина в крови;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определения уровня глюкозы в крови натощак;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измерения внутриглазного давления;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определения относительного 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8"/>
      <w:bookmarkEnd w:id="6"/>
      <w:r w:rsidRPr="00EC5775">
        <w:rPr>
          <w:rFonts w:ascii="Times New Roman" w:hAnsi="Times New Roman" w:cs="Times New Roman"/>
          <w:sz w:val="24"/>
          <w:szCs w:val="24"/>
        </w:rPr>
        <w:t>приема (осмотра) по результатам профилактического медицинского осмотра в объеме, предусмотренном в подпункте 11 пункта 16 настоящего порядка;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0"/>
      <w:bookmarkEnd w:id="7"/>
      <w:r w:rsidRPr="00EC5775">
        <w:rPr>
          <w:rFonts w:ascii="Times New Roman" w:hAnsi="Times New Roman" w:cs="Times New Roman"/>
          <w:sz w:val="24"/>
          <w:szCs w:val="24"/>
        </w:rP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 4 настоящего пункта;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1"/>
      <w:bookmarkEnd w:id="8"/>
      <w:r w:rsidRPr="00EC5775">
        <w:rPr>
          <w:rFonts w:ascii="Times New Roman" w:hAnsi="Times New Roman" w:cs="Times New Roman"/>
          <w:sz w:val="24"/>
          <w:szCs w:val="24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2"/>
      <w:bookmarkEnd w:id="9"/>
      <w:r w:rsidRPr="00EC5775">
        <w:rPr>
          <w:rFonts w:ascii="Times New Roman" w:hAnsi="Times New Roman" w:cs="Times New Roman"/>
          <w:sz w:val="24"/>
          <w:szCs w:val="24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</w:t>
      </w:r>
      <w:r w:rsidRPr="00EC5775">
        <w:rPr>
          <w:rFonts w:ascii="Times New Roman" w:hAnsi="Times New Roman" w:cs="Times New Roman"/>
          <w:sz w:val="24"/>
          <w:szCs w:val="24"/>
        </w:rPr>
        <w:lastRenderedPageBreak/>
        <w:t>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8) формирование комплекта документов, заполнение карты учета диспансеризации;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4"/>
      <w:bookmarkEnd w:id="10"/>
      <w:r w:rsidRPr="00EC5775">
        <w:rPr>
          <w:rFonts w:ascii="Times New Roman" w:hAnsi="Times New Roman" w:cs="Times New Roman"/>
          <w:sz w:val="24"/>
          <w:szCs w:val="24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11)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7"/>
      <w:bookmarkEnd w:id="11"/>
      <w:r w:rsidRPr="00EC5775">
        <w:rPr>
          <w:rFonts w:ascii="Times New Roman" w:hAnsi="Times New Roman" w:cs="Times New Roman"/>
          <w:sz w:val="24"/>
          <w:szCs w:val="24"/>
        </w:rPr>
        <w:t>16. Профилактический медицинский осмотр включает в себя: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8"/>
      <w:bookmarkEnd w:id="12"/>
      <w:r w:rsidRPr="00EC5775">
        <w:rPr>
          <w:rFonts w:ascii="Times New Roman" w:hAnsi="Times New Roman" w:cs="Times New Roman"/>
          <w:sz w:val="24"/>
          <w:szCs w:val="24"/>
        </w:rPr>
        <w:t>1) анкетирование граждан в возрасте 18 лет и старше 1 раз в год в целях: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болезни легких, заболеваний желудочно-кишечного тракта;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некоррегированных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нарушений слуха и зрения;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7) определение абсолютного сердечно-сосудистого риска &lt;11&gt; у граждан в возрасте от 40 до 64 лет включительно 1 раз в год;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&lt;11&gt; Сердечно-сосудистый риск определяется по шкале сердечно-сосудистого риска </w:t>
      </w:r>
      <w:r w:rsidRPr="00EC5775">
        <w:rPr>
          <w:rFonts w:ascii="Times New Roman" w:hAnsi="Times New Roman" w:cs="Times New Roman"/>
          <w:sz w:val="24"/>
          <w:szCs w:val="24"/>
        </w:rPr>
        <w:lastRenderedPageBreak/>
        <w:t>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8) флюорографию легких или рентгенографию легких для граждан в возрасте 18 лет и старше 1 раз в 2 года &lt;12&gt;;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&lt;12&gt;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6"/>
      <w:bookmarkEnd w:id="13"/>
      <w:r w:rsidRPr="00EC5775">
        <w:rPr>
          <w:rFonts w:ascii="Times New Roman" w:hAnsi="Times New Roman" w:cs="Times New Roman"/>
          <w:sz w:val="24"/>
          <w:szCs w:val="24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7"/>
      <w:bookmarkEnd w:id="14"/>
      <w:r w:rsidRPr="00EC5775">
        <w:rPr>
          <w:rFonts w:ascii="Times New Roman" w:hAnsi="Times New Roman" w:cs="Times New Roman"/>
          <w:sz w:val="24"/>
          <w:szCs w:val="24"/>
        </w:rPr>
        <w:t>11) осмотр фельдшером (акушеркой) или врачом акушером-гинекологом женщин в возрасте от 18 до 39 лет 1 раз в год;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89"/>
      <w:bookmarkEnd w:id="15"/>
      <w:r w:rsidRPr="00EC5775">
        <w:rPr>
          <w:rFonts w:ascii="Times New Roman" w:hAnsi="Times New Roman" w:cs="Times New Roman"/>
          <w:sz w:val="24"/>
          <w:szCs w:val="24"/>
        </w:rPr>
        <w:t>17. Диспансеризация проводится в два этапа.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1) для граждан в возрасте от 18 до 39 лет включительно 1 раз в 3 года: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а) проведение профилактического медицинского осмотра в объеме, указанном в подпунктах 1 - 11 пункта 16 настоящего порядка;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lastRenderedPageBreak/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в) общий анализ крови (гемоглобин, лейкоциты, СОЭ);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в) общий анализ крови (гемоглобин, лейкоциты, СОЭ);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8"/>
      <w:bookmarkEnd w:id="16"/>
      <w:r w:rsidRPr="00EC5775">
        <w:rPr>
          <w:rFonts w:ascii="Times New Roman" w:hAnsi="Times New Roman" w:cs="Times New Roman"/>
          <w:sz w:val="24"/>
          <w:szCs w:val="24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2) дуплексное сканирование брахицефальных артерий (для мужчин в возрасте от 45 </w:t>
      </w:r>
      <w:r w:rsidRPr="00EC5775">
        <w:rPr>
          <w:rFonts w:ascii="Times New Roman" w:hAnsi="Times New Roman" w:cs="Times New Roman"/>
          <w:sz w:val="24"/>
          <w:szCs w:val="24"/>
        </w:rPr>
        <w:lastRenderedPageBreak/>
        <w:t xml:space="preserve">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>/мл);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4) осмотр (консультацию) врачом-хирургом или врачом-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колопроктологом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, включая проведение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ректороманоскопии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аденоматозу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колопроктолога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>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10) осмотр (консультация) врачом-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а) с выявленной ишемической болезнью сердца, цереброваскулярными </w:t>
      </w:r>
      <w:r w:rsidRPr="00EC5775">
        <w:rPr>
          <w:rFonts w:ascii="Times New Roman" w:hAnsi="Times New Roman" w:cs="Times New Roman"/>
          <w:sz w:val="24"/>
          <w:szCs w:val="24"/>
        </w:rPr>
        <w:lastRenderedPageBreak/>
        <w:t>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775">
        <w:rPr>
          <w:rFonts w:ascii="Times New Roman" w:hAnsi="Times New Roman" w:cs="Times New Roman"/>
          <w:sz w:val="24"/>
          <w:szCs w:val="24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25"/>
      <w:bookmarkEnd w:id="17"/>
      <w:proofErr w:type="gramStart"/>
      <w:r w:rsidRPr="00EC5775">
        <w:rPr>
          <w:rFonts w:ascii="Times New Roman" w:hAnsi="Times New Roman" w:cs="Times New Roman"/>
          <w:sz w:val="24"/>
          <w:szCs w:val="24"/>
        </w:rP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20. При проведении профилактического медицинского осмотра и диспансеризации </w:t>
      </w:r>
      <w:r w:rsidRPr="00EC5775">
        <w:rPr>
          <w:rFonts w:ascii="Times New Roman" w:hAnsi="Times New Roman" w:cs="Times New Roman"/>
          <w:sz w:val="24"/>
          <w:szCs w:val="24"/>
        </w:rPr>
        <w:lastRenderedPageBreak/>
        <w:t>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оказания медицинской 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&lt;15&gt;.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&lt;15&gt; Статья 37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lastRenderedPageBreak/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775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&lt;16&gt;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группу здоровья.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775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Граждане с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75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EC5775">
        <w:rPr>
          <w:rFonts w:ascii="Times New Roman" w:hAnsi="Times New Roman" w:cs="Times New Roman"/>
          <w:sz w:val="24"/>
          <w:szCs w:val="24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скрытую кровь иммунохимическим качественным или </w:t>
      </w:r>
      <w:r w:rsidRPr="00EC5775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антигена в крови, которые проводятся в соответствии с приложением N 2 к настоящему порядку.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067540" w:rsidRPr="00EC5775" w:rsidRDefault="0006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  <w:proofErr w:type="gramEnd"/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260"/>
      <w:bookmarkEnd w:id="18"/>
      <w:r w:rsidRPr="00EC577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67540" w:rsidRPr="00EC5775" w:rsidRDefault="00067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к порядку проведения профилактического</w:t>
      </w:r>
    </w:p>
    <w:p w:rsidR="00067540" w:rsidRPr="00EC5775" w:rsidRDefault="00067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медицинского осмотра и диспансеризации</w:t>
      </w:r>
    </w:p>
    <w:p w:rsidR="00067540" w:rsidRPr="00EC5775" w:rsidRDefault="00067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определенных гру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>ослого населения,</w:t>
      </w:r>
    </w:p>
    <w:p w:rsidR="00067540" w:rsidRPr="00EC5775" w:rsidRDefault="00067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577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</w:p>
    <w:p w:rsidR="00067540" w:rsidRPr="00EC5775" w:rsidRDefault="00067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здравоохранения Российской Федерации</w:t>
      </w:r>
    </w:p>
    <w:p w:rsidR="00067540" w:rsidRPr="00EC5775" w:rsidRDefault="00067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от 13.03.2019 N 124н</w:t>
      </w:r>
    </w:p>
    <w:p w:rsidR="002138E5" w:rsidRPr="00EC5775" w:rsidRDefault="00213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7540" w:rsidRPr="00EC5775" w:rsidRDefault="000675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I. Перечень приемов (осмотров, консультаций) медицинскими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работниками, исследований и иных медицинских вмешательств,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5775">
        <w:rPr>
          <w:rFonts w:ascii="Times New Roman" w:hAnsi="Times New Roman" w:cs="Times New Roman"/>
          <w:sz w:val="24"/>
          <w:szCs w:val="24"/>
        </w:rPr>
        <w:t>проводимых в рамках профилактического медицинского осмотра</w:t>
      </w:r>
      <w:proofErr w:type="gramEnd"/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 xml:space="preserve">и первого этапа диспансеризации </w:t>
      </w:r>
      <w:proofErr w:type="gramStart"/>
      <w:r w:rsidRPr="00EC57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775">
        <w:rPr>
          <w:rFonts w:ascii="Times New Roman" w:hAnsi="Times New Roman" w:cs="Times New Roman"/>
          <w:sz w:val="24"/>
          <w:szCs w:val="24"/>
        </w:rPr>
        <w:t xml:space="preserve"> определенные возрастные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775">
        <w:rPr>
          <w:rFonts w:ascii="Times New Roman" w:hAnsi="Times New Roman" w:cs="Times New Roman"/>
          <w:sz w:val="24"/>
          <w:szCs w:val="24"/>
        </w:rPr>
        <w:t>периоды мужчинам в возрасте от 18 до 64 лет включительно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rPr>
          <w:rFonts w:ascii="Times New Roman" w:hAnsi="Times New Roman" w:cs="Times New Roman"/>
          <w:sz w:val="24"/>
          <w:szCs w:val="24"/>
        </w:rPr>
      </w:pPr>
    </w:p>
    <w:p w:rsidR="002138E5" w:rsidRPr="00EC5775" w:rsidRDefault="002138E5">
      <w:pPr>
        <w:rPr>
          <w:rFonts w:ascii="Times New Roman" w:hAnsi="Times New Roman" w:cs="Times New Roman"/>
          <w:sz w:val="24"/>
          <w:szCs w:val="24"/>
        </w:rPr>
        <w:sectPr w:rsidR="002138E5" w:rsidRPr="00EC5775" w:rsidSect="001B04A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1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7"/>
        <w:gridCol w:w="372"/>
        <w:gridCol w:w="372"/>
        <w:gridCol w:w="336"/>
        <w:gridCol w:w="372"/>
        <w:gridCol w:w="337"/>
        <w:gridCol w:w="283"/>
        <w:gridCol w:w="284"/>
        <w:gridCol w:w="337"/>
        <w:gridCol w:w="372"/>
        <w:gridCol w:w="283"/>
        <w:gridCol w:w="336"/>
        <w:gridCol w:w="372"/>
        <w:gridCol w:w="284"/>
        <w:gridCol w:w="284"/>
      </w:tblGrid>
      <w:tr w:rsidR="00EC5775" w:rsidRPr="00EC5775" w:rsidTr="00F70663">
        <w:tc>
          <w:tcPr>
            <w:tcW w:w="1134" w:type="dxa"/>
            <w:gridSpan w:val="2"/>
            <w:vMerge w:val="restart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Осмотр, исследование, мероприятие</w:t>
            </w:r>
          </w:p>
        </w:tc>
        <w:tc>
          <w:tcPr>
            <w:tcW w:w="14033" w:type="dxa"/>
            <w:gridSpan w:val="47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Возраст</w:t>
            </w:r>
          </w:p>
        </w:tc>
      </w:tr>
      <w:tr w:rsidR="00EC5775" w:rsidRPr="00EC5775" w:rsidTr="00F70663">
        <w:tc>
          <w:tcPr>
            <w:tcW w:w="1134" w:type="dxa"/>
            <w:gridSpan w:val="2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337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372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72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336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372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337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337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372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336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372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</w:tr>
      <w:tr w:rsidR="00EC5775" w:rsidRPr="00EC5775" w:rsidTr="00F70663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Объем профилактического медицинского осмотра &lt;*&gt;</w:t>
            </w: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Опрос (анкетирование)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Измерение артериального давления на периферических артериях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Определение уровня общего холестерина в крови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Определение уровня глюкозы в крови натощак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Определение относительного сердечно-сосудистого риска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775" w:rsidRPr="00EC5775" w:rsidTr="00F70663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Определение абсолютного сердечно-сосудистого риска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Флюорография легких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Электрокардиография в покое &lt;**&gt;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Измерение внутриглазного давления &lt;***&gt;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 -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5775">
              <w:rPr>
                <w:rFonts w:ascii="Times New Roman" w:hAnsi="Times New Roman" w:cs="Times New Roman"/>
                <w:sz w:val="16"/>
                <w:szCs w:val="16"/>
              </w:rPr>
              <w:t xml:space="preserve">Прием (осмотр) по результатам профилактического медицинского осмотра, в том </w:t>
            </w:r>
            <w:r w:rsidRPr="00EC5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&lt;****&gt;</w:t>
            </w:r>
            <w:proofErr w:type="gramEnd"/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 w:val="restart"/>
            <w:tcBorders>
              <w:top w:val="nil"/>
            </w:tcBorders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Общий анализ крови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Краткое индивидуальное профилактическое консультирование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775" w:rsidRPr="00EC5775" w:rsidTr="00F70663">
        <w:tc>
          <w:tcPr>
            <w:tcW w:w="567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Определение простат-специфического антигена (ПСА) в крови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 xml:space="preserve">Прием (осмотр) врачом-терапевтом по результатам </w:t>
            </w:r>
            <w:r w:rsidRPr="00EC5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F70663">
        <w:tc>
          <w:tcPr>
            <w:tcW w:w="567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775" w:rsidRPr="00EC5775" w:rsidTr="00F70663">
        <w:tc>
          <w:tcPr>
            <w:tcW w:w="567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Эзофагогастродуоденоскопия</w:t>
            </w:r>
            <w:proofErr w:type="spellEnd"/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67540" w:rsidRPr="00EC5775" w:rsidRDefault="002138E5">
      <w:pPr>
        <w:rPr>
          <w:rFonts w:ascii="Times New Roman" w:hAnsi="Times New Roman" w:cs="Times New Roman"/>
        </w:rPr>
        <w:sectPr w:rsidR="00067540" w:rsidRPr="00EC5775" w:rsidSect="001B04A7">
          <w:pgSz w:w="16838" w:h="11905" w:orient="landscape"/>
          <w:pgMar w:top="567" w:right="1134" w:bottom="426" w:left="1134" w:header="0" w:footer="0" w:gutter="0"/>
          <w:cols w:space="720"/>
        </w:sectPr>
      </w:pPr>
      <w:r w:rsidRPr="00EC577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9148C9" wp14:editId="40A22E7F">
                <wp:simplePos x="0" y="0"/>
                <wp:positionH relativeFrom="column">
                  <wp:posOffset>118110</wp:posOffset>
                </wp:positionH>
                <wp:positionV relativeFrom="paragraph">
                  <wp:posOffset>182880</wp:posOffset>
                </wp:positionV>
                <wp:extent cx="9086850" cy="1552575"/>
                <wp:effectExtent l="0" t="0" r="0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8E5" w:rsidRPr="002138E5" w:rsidRDefault="002138E5" w:rsidP="002138E5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2138E5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                </w:r>
                            <w:hyperlink w:anchor="P167" w:history="1">
                              <w:r w:rsidRPr="002138E5">
                                <w:rPr>
                                  <w:rFonts w:ascii="Times New Roman" w:hAnsi="Times New Roman" w:cs="Times New Roman"/>
                                  <w:color w:val="0000FF"/>
                                  <w:szCs w:val="22"/>
                                </w:rPr>
                                <w:t>пунктах 16</w:t>
                              </w:r>
                            </w:hyperlink>
                            <w:r w:rsidRPr="002138E5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и </w:t>
                            </w:r>
                            <w:hyperlink w:anchor="P189" w:history="1">
                              <w:r w:rsidRPr="002138E5">
                                <w:rPr>
                                  <w:rFonts w:ascii="Times New Roman" w:hAnsi="Times New Roman" w:cs="Times New Roman"/>
                                  <w:color w:val="0000FF"/>
                                  <w:szCs w:val="22"/>
                                </w:rPr>
                                <w:t>17</w:t>
                              </w:r>
                            </w:hyperlink>
                            <w:r w:rsidRPr="002138E5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                      </w:r>
                          </w:p>
                          <w:p w:rsidR="002138E5" w:rsidRPr="002138E5" w:rsidRDefault="002138E5" w:rsidP="002138E5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bookmarkStart w:id="19" w:name="P1194"/>
                            <w:bookmarkEnd w:id="19"/>
                            <w:r w:rsidRPr="002138E5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                      </w:r>
                          </w:p>
                          <w:p w:rsidR="002138E5" w:rsidRPr="002138E5" w:rsidRDefault="002138E5" w:rsidP="002138E5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bookmarkStart w:id="20" w:name="P1195"/>
                            <w:bookmarkEnd w:id="20"/>
                            <w:r w:rsidRPr="002138E5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                      </w:r>
                          </w:p>
                          <w:p w:rsidR="002138E5" w:rsidRPr="002138E5" w:rsidRDefault="002138E5" w:rsidP="002138E5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bookmarkStart w:id="21" w:name="P1196"/>
                            <w:bookmarkEnd w:id="21"/>
                            <w:r w:rsidRPr="002138E5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&lt;****&gt; Не проводится в случае, если профилактический медицинский осмотр является частью первого этапа диспансеризации.</w:t>
                            </w:r>
                          </w:p>
                          <w:p w:rsidR="002138E5" w:rsidRDefault="00213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3pt;margin-top:14.4pt;width:715.5pt;height:12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" stroked="f">
                <v:textbox>
                  <w:txbxContent>
                    <w:p w:rsidR="002138E5" w:rsidRPr="002138E5" w:rsidRDefault="002138E5" w:rsidP="002138E5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2138E5">
                        <w:rPr>
                          <w:rFonts w:ascii="Times New Roman" w:hAnsi="Times New Roman" w:cs="Times New Roman"/>
                          <w:szCs w:val="22"/>
                        </w:rPr>
                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          </w:r>
                      <w:hyperlink w:anchor="P167" w:history="1">
                        <w:r w:rsidRPr="002138E5">
                          <w:rPr>
                            <w:rFonts w:ascii="Times New Roman" w:hAnsi="Times New Roman" w:cs="Times New Roman"/>
                            <w:color w:val="0000FF"/>
                            <w:szCs w:val="22"/>
                          </w:rPr>
                          <w:t>пунктах 16</w:t>
                        </w:r>
                      </w:hyperlink>
                      <w:r w:rsidRPr="002138E5">
                        <w:rPr>
                          <w:rFonts w:ascii="Times New Roman" w:hAnsi="Times New Roman" w:cs="Times New Roman"/>
                          <w:szCs w:val="22"/>
                        </w:rPr>
                        <w:t xml:space="preserve"> и </w:t>
                      </w:r>
                      <w:hyperlink w:anchor="P189" w:history="1">
                        <w:r w:rsidRPr="002138E5">
                          <w:rPr>
                            <w:rFonts w:ascii="Times New Roman" w:hAnsi="Times New Roman" w:cs="Times New Roman"/>
                            <w:color w:val="0000FF"/>
                            <w:szCs w:val="22"/>
                          </w:rPr>
                          <w:t>17</w:t>
                        </w:r>
                      </w:hyperlink>
                      <w:r w:rsidRPr="002138E5">
                        <w:rPr>
                          <w:rFonts w:ascii="Times New Roman" w:hAnsi="Times New Roman" w:cs="Times New Roman"/>
                          <w:szCs w:val="22"/>
                        </w:rPr>
          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                </w:r>
                    </w:p>
                    <w:p w:rsidR="002138E5" w:rsidRPr="002138E5" w:rsidRDefault="002138E5" w:rsidP="002138E5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bookmarkStart w:id="22" w:name="P1194"/>
                      <w:bookmarkEnd w:id="22"/>
                      <w:r w:rsidRPr="002138E5">
                        <w:rPr>
                          <w:rFonts w:ascii="Times New Roman" w:hAnsi="Times New Roman" w:cs="Times New Roman"/>
                          <w:szCs w:val="22"/>
                        </w:rPr>
                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                </w:r>
                    </w:p>
                    <w:p w:rsidR="002138E5" w:rsidRPr="002138E5" w:rsidRDefault="002138E5" w:rsidP="002138E5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bookmarkStart w:id="23" w:name="P1195"/>
                      <w:bookmarkEnd w:id="23"/>
                      <w:r w:rsidRPr="002138E5">
                        <w:rPr>
                          <w:rFonts w:ascii="Times New Roman" w:hAnsi="Times New Roman" w:cs="Times New Roman"/>
                          <w:szCs w:val="22"/>
                        </w:rPr>
                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                </w:r>
                    </w:p>
                    <w:p w:rsidR="002138E5" w:rsidRPr="002138E5" w:rsidRDefault="002138E5" w:rsidP="002138E5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bookmarkStart w:id="24" w:name="P1196"/>
                      <w:bookmarkEnd w:id="24"/>
                      <w:r w:rsidRPr="002138E5">
                        <w:rPr>
                          <w:rFonts w:ascii="Times New Roman" w:hAnsi="Times New Roman" w:cs="Times New Roman"/>
                          <w:szCs w:val="22"/>
                        </w:rPr>
                        <w:t>&lt;****&gt; Не проводится в случае, если профилактический медицинский осмотр является частью первого этапа диспансеризации.</w:t>
                      </w:r>
                    </w:p>
                    <w:p w:rsidR="002138E5" w:rsidRDefault="002138E5"/>
                  </w:txbxContent>
                </v:textbox>
                <w10:wrap type="square"/>
              </v:shape>
            </w:pict>
          </mc:Fallback>
        </mc:AlternateConten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2" w:name="P1193"/>
      <w:bookmarkEnd w:id="22"/>
    </w:p>
    <w:p w:rsidR="00067540" w:rsidRPr="00EC5775" w:rsidRDefault="00067540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II. Перечень приемов (осмотров, консультаций) медицинскими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работниками, исследований и иных медицинских вмешательств,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EC5775">
        <w:rPr>
          <w:rFonts w:ascii="Times New Roman" w:hAnsi="Times New Roman" w:cs="Times New Roman"/>
          <w:szCs w:val="22"/>
        </w:rPr>
        <w:t>проводимых в рамках профилактического медицинского осмотра</w:t>
      </w:r>
      <w:proofErr w:type="gramEnd"/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 xml:space="preserve">и первого этапа диспансеризации </w:t>
      </w:r>
      <w:proofErr w:type="gramStart"/>
      <w:r w:rsidRPr="00EC5775">
        <w:rPr>
          <w:rFonts w:ascii="Times New Roman" w:hAnsi="Times New Roman" w:cs="Times New Roman"/>
          <w:szCs w:val="22"/>
        </w:rPr>
        <w:t>в</w:t>
      </w:r>
      <w:proofErr w:type="gramEnd"/>
      <w:r w:rsidRPr="00EC5775">
        <w:rPr>
          <w:rFonts w:ascii="Times New Roman" w:hAnsi="Times New Roman" w:cs="Times New Roman"/>
          <w:szCs w:val="22"/>
        </w:rPr>
        <w:t xml:space="preserve"> определенные возрастные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периоды женщинам в возрасте от 18 до 64 лет включительно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C5775" w:rsidRPr="00EC5775" w:rsidTr="00C8526E">
        <w:tc>
          <w:tcPr>
            <w:tcW w:w="1135" w:type="dxa"/>
            <w:gridSpan w:val="2"/>
            <w:vMerge w:val="restart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Осмотр, исследование, мероприятие</w:t>
            </w:r>
          </w:p>
        </w:tc>
        <w:tc>
          <w:tcPr>
            <w:tcW w:w="13324" w:type="dxa"/>
            <w:gridSpan w:val="47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Возраст</w:t>
            </w:r>
          </w:p>
        </w:tc>
      </w:tr>
      <w:tr w:rsidR="00EC5775" w:rsidRPr="00EC5775" w:rsidTr="00C8526E">
        <w:tc>
          <w:tcPr>
            <w:tcW w:w="1135" w:type="dxa"/>
            <w:gridSpan w:val="2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8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83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</w:tr>
      <w:tr w:rsidR="00EC5775" w:rsidRPr="00EC5775" w:rsidTr="00C8526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Опрос (анкетирование)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Измерение артериального давления на периферических артериях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Объем диспансеризации (1-й этап)</w:t>
            </w:r>
          </w:p>
        </w:tc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Объем профилактического медицинского осмотра &lt;*&gt;</w:t>
            </w: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Определение уровня общего холестерина в крови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Определение уровня глюкозы в крови натощак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Определение относительного сердечно-сосудистого риска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Определение абсолютного сердечно-сосудистого риска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Флюорография легких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 xml:space="preserve">Электрокардиография </w:t>
            </w:r>
            <w:r w:rsidRPr="00EC5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покое &lt;**&gt;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Измерение внутриглазного давления &lt;***&gt;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Осмотр фельдшером (акушеркой) или врачом акушером-гинекологом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&lt;****&gt;</w:t>
            </w:r>
            <w:proofErr w:type="gramEnd"/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bottom w:val="nil"/>
            </w:tcBorders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Краткое индивидуальное профилактическое консультирование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Общий анализ крови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 xml:space="preserve">Исследование кала на </w:t>
            </w:r>
            <w:r w:rsidRPr="00EC5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скрытую кровь иммунохимическим методом &lt;*&gt;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+9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Маммография обеих молочных желез в двух проекциях &lt;*&gt;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Осмотр фельдшером (акушеркой) или врачом акушером-гинекологом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tcBorders>
              <w:top w:val="nil"/>
              <w:bottom w:val="nil"/>
            </w:tcBorders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&lt;*&gt;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5775" w:rsidRPr="00EC5775" w:rsidTr="00C8526E">
        <w:tc>
          <w:tcPr>
            <w:tcW w:w="567" w:type="dxa"/>
            <w:vMerge w:val="restart"/>
            <w:tcBorders>
              <w:top w:val="nil"/>
            </w:tcBorders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nil"/>
            </w:tcBorders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C5775">
              <w:rPr>
                <w:rFonts w:ascii="Times New Roman" w:hAnsi="Times New Roman" w:cs="Times New Roman"/>
                <w:sz w:val="16"/>
                <w:szCs w:val="16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</w:t>
            </w:r>
            <w:r w:rsidRPr="00EC5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775">
              <w:rPr>
                <w:rFonts w:ascii="Times New Roman" w:hAnsi="Times New Roman" w:cs="Times New Roman"/>
                <w:sz w:val="16"/>
                <w:szCs w:val="16"/>
              </w:rPr>
              <w:t>Эзофагогастродуоденоскопия</w:t>
            </w:r>
            <w:proofErr w:type="spellEnd"/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775"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138E5" w:rsidRPr="00EC5775" w:rsidRDefault="002138E5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067540" w:rsidRPr="00EC5775" w:rsidRDefault="00067540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III. Перечень приемов (осмотров, консультаций) медицинскими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работниками, исследований и иных медицинских вмешательств,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EC5775">
        <w:rPr>
          <w:rFonts w:ascii="Times New Roman" w:hAnsi="Times New Roman" w:cs="Times New Roman"/>
          <w:szCs w:val="22"/>
        </w:rPr>
        <w:t>проводимых в рамках профилактического медицинского осмотра</w:t>
      </w:r>
      <w:proofErr w:type="gramEnd"/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 xml:space="preserve">и первого этапа диспансеризации </w:t>
      </w:r>
      <w:proofErr w:type="gramStart"/>
      <w:r w:rsidRPr="00EC5775">
        <w:rPr>
          <w:rFonts w:ascii="Times New Roman" w:hAnsi="Times New Roman" w:cs="Times New Roman"/>
          <w:szCs w:val="22"/>
        </w:rPr>
        <w:t>в</w:t>
      </w:r>
      <w:proofErr w:type="gramEnd"/>
      <w:r w:rsidRPr="00EC5775">
        <w:rPr>
          <w:rFonts w:ascii="Times New Roman" w:hAnsi="Times New Roman" w:cs="Times New Roman"/>
          <w:szCs w:val="22"/>
        </w:rPr>
        <w:t xml:space="preserve"> определенные возрастные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периоды мужчинам в возрасте 65 лет и старше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3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EC5775" w:rsidRPr="00EC5775" w:rsidTr="00C8526E">
        <w:tc>
          <w:tcPr>
            <w:tcW w:w="1134" w:type="dxa"/>
            <w:gridSpan w:val="2"/>
            <w:vMerge w:val="restart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vMerge w:val="restart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Возраст</w:t>
            </w:r>
          </w:p>
        </w:tc>
      </w:tr>
      <w:tr w:rsidR="00EC5775" w:rsidRPr="00EC5775" w:rsidTr="00C8526E">
        <w:tc>
          <w:tcPr>
            <w:tcW w:w="1134" w:type="dxa"/>
            <w:gridSpan w:val="2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369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99</w:t>
            </w:r>
          </w:p>
        </w:tc>
      </w:tr>
      <w:tr w:rsidR="00EC5775" w:rsidRPr="00EC5775" w:rsidTr="00C8526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Объем профилактического медицинского осмотра &lt;*&gt;</w:t>
            </w: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 xml:space="preserve">Электрокардиография в </w:t>
            </w:r>
            <w:r w:rsidRPr="00EC5775">
              <w:rPr>
                <w:rFonts w:ascii="Times New Roman" w:hAnsi="Times New Roman" w:cs="Times New Roman"/>
                <w:sz w:val="20"/>
              </w:rPr>
              <w:lastRenderedPageBreak/>
              <w:t>покое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C5775">
              <w:rPr>
                <w:rFonts w:ascii="Times New Roman" w:hAnsi="Times New Roman" w:cs="Times New Roman"/>
                <w:sz w:val="20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&lt;**&gt;</w:t>
            </w:r>
            <w:proofErr w:type="gramEnd"/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Общий анализ крови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775" w:rsidRPr="00EC5775" w:rsidTr="00C8526E">
        <w:tc>
          <w:tcPr>
            <w:tcW w:w="567" w:type="dxa"/>
            <w:tcBorders>
              <w:top w:val="nil"/>
            </w:tcBorders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</w:tbl>
    <w:p w:rsidR="00067540" w:rsidRPr="00EC5775" w:rsidRDefault="00C8526E">
      <w:pPr>
        <w:rPr>
          <w:rFonts w:ascii="Times New Roman" w:hAnsi="Times New Roman" w:cs="Times New Roman"/>
        </w:rPr>
        <w:sectPr w:rsidR="00067540" w:rsidRPr="00EC5775" w:rsidSect="001B04A7">
          <w:pgSz w:w="16838" w:h="11905" w:orient="landscape"/>
          <w:pgMar w:top="1701" w:right="1134" w:bottom="284" w:left="1134" w:header="0" w:footer="0" w:gutter="0"/>
          <w:cols w:space="720"/>
        </w:sectPr>
      </w:pPr>
      <w:r w:rsidRPr="00EC577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7667A" wp14:editId="12434F2F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9534525" cy="118110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6E" w:rsidRPr="00067540" w:rsidRDefault="00C8526E" w:rsidP="00C8526E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06754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--------------------------------</w:t>
                            </w:r>
                          </w:p>
                          <w:p w:rsidR="00C8526E" w:rsidRPr="00067540" w:rsidRDefault="00C8526E" w:rsidP="00C8526E">
                            <w:pPr>
                              <w:pStyle w:val="ConsPlusNormal"/>
                              <w:spacing w:before="220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bookmarkStart w:id="23" w:name="P2751"/>
                            <w:bookmarkEnd w:id="23"/>
                            <w:r w:rsidRPr="0006754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                </w:r>
                            <w:hyperlink w:anchor="P167" w:history="1">
                              <w:r w:rsidRPr="00067540">
                                <w:rPr>
                                  <w:rFonts w:ascii="Times New Roman" w:hAnsi="Times New Roman" w:cs="Times New Roman"/>
                                  <w:color w:val="0000FF"/>
                                  <w:szCs w:val="22"/>
                                </w:rPr>
                                <w:t>пунктах 16</w:t>
                              </w:r>
                            </w:hyperlink>
                            <w:r w:rsidRPr="0006754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и </w:t>
                            </w:r>
                            <w:hyperlink w:anchor="P189" w:history="1">
                              <w:r w:rsidRPr="00067540">
                                <w:rPr>
                                  <w:rFonts w:ascii="Times New Roman" w:hAnsi="Times New Roman" w:cs="Times New Roman"/>
                                  <w:color w:val="0000FF"/>
                                  <w:szCs w:val="22"/>
                                </w:rPr>
                                <w:t>17</w:t>
                              </w:r>
                            </w:hyperlink>
                            <w:r w:rsidRPr="0006754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                      </w:r>
                          </w:p>
                          <w:p w:rsidR="00C8526E" w:rsidRPr="00067540" w:rsidRDefault="00C8526E" w:rsidP="00C8526E">
                            <w:pPr>
                              <w:pStyle w:val="ConsPlusNormal"/>
                              <w:spacing w:before="220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bookmarkStart w:id="24" w:name="P2752"/>
                            <w:bookmarkEnd w:id="24"/>
                            <w:r w:rsidRPr="0006754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&lt;**&gt; Не проводится в случае, если профилактический медицинский осмотр является частью первого этапа диспансеризации.</w:t>
                            </w:r>
                          </w:p>
                          <w:p w:rsidR="00C8526E" w:rsidRDefault="00C85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0;margin-top:14.35pt;width:750.75pt;height:9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" stroked="f">
                <v:textbox>
                  <w:txbxContent>
                    <w:p w:rsidR="00C8526E" w:rsidRPr="00067540" w:rsidRDefault="00C8526E" w:rsidP="00C8526E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067540">
                        <w:rPr>
                          <w:rFonts w:ascii="Times New Roman" w:hAnsi="Times New Roman" w:cs="Times New Roman"/>
                          <w:szCs w:val="22"/>
                        </w:rPr>
                        <w:t>--------------------------------</w:t>
                      </w:r>
                    </w:p>
                    <w:p w:rsidR="00C8526E" w:rsidRPr="00067540" w:rsidRDefault="00C8526E" w:rsidP="00C8526E">
                      <w:pPr>
                        <w:pStyle w:val="ConsPlusNormal"/>
                        <w:spacing w:before="220"/>
                        <w:ind w:firstLine="54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bookmarkStart w:id="28" w:name="P2751"/>
                      <w:bookmarkEnd w:id="28"/>
                      <w:r w:rsidRPr="00067540">
                        <w:rPr>
                          <w:rFonts w:ascii="Times New Roman" w:hAnsi="Times New Roman" w:cs="Times New Roman"/>
                          <w:szCs w:val="22"/>
                        </w:rPr>
                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          </w:r>
                      <w:hyperlink w:anchor="P167" w:history="1">
                        <w:r w:rsidRPr="00067540">
                          <w:rPr>
                            <w:rFonts w:ascii="Times New Roman" w:hAnsi="Times New Roman" w:cs="Times New Roman"/>
                            <w:color w:val="0000FF"/>
                            <w:szCs w:val="22"/>
                          </w:rPr>
                          <w:t>пунктах 16</w:t>
                        </w:r>
                      </w:hyperlink>
                      <w:r w:rsidRPr="00067540">
                        <w:rPr>
                          <w:rFonts w:ascii="Times New Roman" w:hAnsi="Times New Roman" w:cs="Times New Roman"/>
                          <w:szCs w:val="22"/>
                        </w:rPr>
                        <w:t xml:space="preserve"> и </w:t>
                      </w:r>
                      <w:hyperlink w:anchor="P189" w:history="1">
                        <w:r w:rsidRPr="00067540">
                          <w:rPr>
                            <w:rFonts w:ascii="Times New Roman" w:hAnsi="Times New Roman" w:cs="Times New Roman"/>
                            <w:color w:val="0000FF"/>
                            <w:szCs w:val="22"/>
                          </w:rPr>
                          <w:t>17</w:t>
                        </w:r>
                      </w:hyperlink>
                      <w:r w:rsidRPr="00067540">
                        <w:rPr>
                          <w:rFonts w:ascii="Times New Roman" w:hAnsi="Times New Roman" w:cs="Times New Roman"/>
                          <w:szCs w:val="22"/>
                        </w:rPr>
          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                </w:r>
                    </w:p>
                    <w:p w:rsidR="00C8526E" w:rsidRPr="00067540" w:rsidRDefault="00C8526E" w:rsidP="00C8526E">
                      <w:pPr>
                        <w:pStyle w:val="ConsPlusNormal"/>
                        <w:spacing w:before="220"/>
                        <w:ind w:firstLine="54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bookmarkStart w:id="29" w:name="P2752"/>
                      <w:bookmarkEnd w:id="29"/>
                      <w:r w:rsidRPr="00067540">
                        <w:rPr>
                          <w:rFonts w:ascii="Times New Roman" w:hAnsi="Times New Roman" w:cs="Times New Roman"/>
                          <w:szCs w:val="22"/>
                        </w:rPr>
                        <w:t>&lt;**&gt; Не проводится в случае, если профилактический медицинский осмотр является частью первого этапа диспансеризации.</w:t>
                      </w:r>
                    </w:p>
                    <w:p w:rsidR="00C8526E" w:rsidRDefault="00C8526E"/>
                  </w:txbxContent>
                </v:textbox>
                <w10:wrap type="square" anchorx="margin"/>
              </v:shape>
            </w:pict>
          </mc:Fallback>
        </mc:AlternateConten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7540" w:rsidRPr="00EC5775" w:rsidRDefault="00067540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IV. Перечень приемов (осмотров, консультаций) медицинскими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работниками, исследований и иных медицинских вмешательств,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EC5775">
        <w:rPr>
          <w:rFonts w:ascii="Times New Roman" w:hAnsi="Times New Roman" w:cs="Times New Roman"/>
          <w:szCs w:val="22"/>
        </w:rPr>
        <w:t>проводимых в рамках профилактического медицинского осмотра</w:t>
      </w:r>
      <w:proofErr w:type="gramEnd"/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 xml:space="preserve">и первого этапа диспансеризации </w:t>
      </w:r>
      <w:proofErr w:type="gramStart"/>
      <w:r w:rsidRPr="00EC5775">
        <w:rPr>
          <w:rFonts w:ascii="Times New Roman" w:hAnsi="Times New Roman" w:cs="Times New Roman"/>
          <w:szCs w:val="22"/>
        </w:rPr>
        <w:t>в</w:t>
      </w:r>
      <w:proofErr w:type="gramEnd"/>
      <w:r w:rsidRPr="00EC5775">
        <w:rPr>
          <w:rFonts w:ascii="Times New Roman" w:hAnsi="Times New Roman" w:cs="Times New Roman"/>
          <w:szCs w:val="22"/>
        </w:rPr>
        <w:t xml:space="preserve"> определенные возрастные</w:t>
      </w:r>
    </w:p>
    <w:p w:rsidR="00067540" w:rsidRPr="00EC5775" w:rsidRDefault="0006754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5775">
        <w:rPr>
          <w:rFonts w:ascii="Times New Roman" w:hAnsi="Times New Roman" w:cs="Times New Roman"/>
          <w:szCs w:val="22"/>
        </w:rPr>
        <w:t>периоды женщинам в возрасте 65 лет и старше</w:t>
      </w:r>
    </w:p>
    <w:p w:rsidR="00067540" w:rsidRPr="00EC5775" w:rsidRDefault="000675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EC5775" w:rsidRPr="00EC5775" w:rsidTr="00C8526E">
        <w:tc>
          <w:tcPr>
            <w:tcW w:w="1134" w:type="dxa"/>
            <w:gridSpan w:val="2"/>
            <w:vMerge w:val="restart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vMerge w:val="restart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Возраст</w:t>
            </w:r>
          </w:p>
        </w:tc>
      </w:tr>
      <w:tr w:rsidR="00EC5775" w:rsidRPr="00EC5775" w:rsidTr="00C8526E">
        <w:tc>
          <w:tcPr>
            <w:tcW w:w="1134" w:type="dxa"/>
            <w:gridSpan w:val="2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364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369" w:type="dxa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99</w:t>
            </w:r>
          </w:p>
        </w:tc>
      </w:tr>
      <w:tr w:rsidR="00EC5775" w:rsidRPr="00EC5775" w:rsidTr="00C8526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Объем профилактического медицинского осмотра &lt;*&gt;</w:t>
            </w: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C5775">
              <w:rPr>
                <w:rFonts w:ascii="Times New Roman" w:hAnsi="Times New Roman" w:cs="Times New Roman"/>
                <w:sz w:val="20"/>
              </w:rPr>
              <w:t xml:space="preserve">Прием (осмотр) по результатам профилактического медицинского осмотра, в том числе осмотр на </w:t>
            </w:r>
            <w:r w:rsidRPr="00EC5775">
              <w:rPr>
                <w:rFonts w:ascii="Times New Roman" w:hAnsi="Times New Roman" w:cs="Times New Roman"/>
                <w:sz w:val="20"/>
              </w:rP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&lt;**&gt;</w:t>
            </w:r>
            <w:proofErr w:type="gramEnd"/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Общий анализ крови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Маммография обеих молочных желез в двух проекциях &lt;*&gt;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775" w:rsidRPr="00EC5775" w:rsidTr="00C8526E">
        <w:tc>
          <w:tcPr>
            <w:tcW w:w="567" w:type="dxa"/>
            <w:vMerge/>
            <w:tcBorders>
              <w:top w:val="nil"/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67540" w:rsidRPr="00EC5775" w:rsidRDefault="0006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EC5775" w:rsidRPr="00EC5775" w:rsidTr="00C8526E">
        <w:tc>
          <w:tcPr>
            <w:tcW w:w="567" w:type="dxa"/>
            <w:tcBorders>
              <w:top w:val="nil"/>
            </w:tcBorders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67540" w:rsidRPr="00EC5775" w:rsidRDefault="000675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067540" w:rsidRPr="00EC5775" w:rsidRDefault="00067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 xml:space="preserve">Прием (осмотр) врачом-терапевтом по результатам первого этапа диспансеризации, в том </w:t>
            </w:r>
            <w:r w:rsidRPr="00EC5775">
              <w:rPr>
                <w:rFonts w:ascii="Times New Roman" w:hAnsi="Times New Roman" w:cs="Times New Roman"/>
                <w:sz w:val="20"/>
              </w:rPr>
              <w:lastRenderedPageBreak/>
              <w:t>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4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9" w:type="dxa"/>
            <w:vAlign w:val="center"/>
          </w:tcPr>
          <w:p w:rsidR="00067540" w:rsidRPr="00EC5775" w:rsidRDefault="000675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775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</w:tbl>
    <w:p w:rsidR="00067540" w:rsidRPr="00EC5775" w:rsidRDefault="00C8526E">
      <w:pPr>
        <w:rPr>
          <w:rFonts w:ascii="Times New Roman" w:hAnsi="Times New Roman" w:cs="Times New Roman"/>
        </w:rPr>
        <w:sectPr w:rsidR="00067540" w:rsidRPr="00EC5775" w:rsidSect="001B04A7">
          <w:pgSz w:w="16838" w:h="11905" w:orient="landscape"/>
          <w:pgMar w:top="851" w:right="1134" w:bottom="709" w:left="1134" w:header="0" w:footer="0" w:gutter="0"/>
          <w:cols w:space="720"/>
        </w:sectPr>
      </w:pPr>
      <w:r w:rsidRPr="00EC5775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B7DC1" wp14:editId="4F641853">
                <wp:simplePos x="0" y="0"/>
                <wp:positionH relativeFrom="margin">
                  <wp:posOffset>337185</wp:posOffset>
                </wp:positionH>
                <wp:positionV relativeFrom="page">
                  <wp:posOffset>4114800</wp:posOffset>
                </wp:positionV>
                <wp:extent cx="8896350" cy="11906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6E" w:rsidRPr="00067540" w:rsidRDefault="00C8526E" w:rsidP="00C8526E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06754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--------------------------------</w:t>
                            </w:r>
                          </w:p>
                          <w:p w:rsidR="00C8526E" w:rsidRPr="00067540" w:rsidRDefault="00C8526E" w:rsidP="00C8526E">
                            <w:pPr>
                              <w:pStyle w:val="ConsPlusNormal"/>
                              <w:spacing w:before="220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bookmarkStart w:id="25" w:name="P3346"/>
                            <w:bookmarkEnd w:id="25"/>
                            <w:r w:rsidRPr="0006754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                </w:r>
                            <w:hyperlink w:anchor="P167" w:history="1">
                              <w:r w:rsidRPr="00067540">
                                <w:rPr>
                                  <w:rFonts w:ascii="Times New Roman" w:hAnsi="Times New Roman" w:cs="Times New Roman"/>
                                  <w:color w:val="0000FF"/>
                                  <w:szCs w:val="22"/>
                                </w:rPr>
                                <w:t>пункт</w:t>
                              </w:r>
                              <w:bookmarkStart w:id="26" w:name="_GoBack"/>
                              <w:bookmarkEnd w:id="26"/>
                              <w:r w:rsidRPr="00067540">
                                <w:rPr>
                                  <w:rFonts w:ascii="Times New Roman" w:hAnsi="Times New Roman" w:cs="Times New Roman"/>
                                  <w:color w:val="0000FF"/>
                                  <w:szCs w:val="22"/>
                                </w:rPr>
                                <w:t>ах 16</w:t>
                              </w:r>
                            </w:hyperlink>
                            <w:r w:rsidRPr="0006754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и </w:t>
                            </w:r>
                            <w:hyperlink w:anchor="P189" w:history="1">
                              <w:r w:rsidRPr="00067540">
                                <w:rPr>
                                  <w:rFonts w:ascii="Times New Roman" w:hAnsi="Times New Roman" w:cs="Times New Roman"/>
                                  <w:color w:val="0000FF"/>
                                  <w:szCs w:val="22"/>
                                </w:rPr>
                                <w:t>17</w:t>
                              </w:r>
                            </w:hyperlink>
                            <w:r w:rsidRPr="0006754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                      </w:r>
                          </w:p>
                          <w:p w:rsidR="00C8526E" w:rsidRPr="00067540" w:rsidRDefault="00C8526E" w:rsidP="00C8526E">
                            <w:pPr>
                              <w:pStyle w:val="ConsPlusNormal"/>
                              <w:spacing w:before="220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bookmarkStart w:id="27" w:name="P3347"/>
                            <w:bookmarkEnd w:id="27"/>
                            <w:r w:rsidRPr="0006754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&lt;**&gt; Не проводится в случае, если профилактический медицинский осмотр является частью первого этапа диспансеризации.</w:t>
                            </w:r>
                          </w:p>
                          <w:p w:rsidR="00C8526E" w:rsidRDefault="00C85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97722A" id="_x0000_s1028" type="#_x0000_t202" style="position:absolute;margin-left:26.55pt;margin-top:324pt;width:700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" stroked="f">
                <v:textbox>
                  <w:txbxContent>
                    <w:p w:rsidR="00C8526E" w:rsidRPr="00067540" w:rsidRDefault="00C8526E" w:rsidP="00C8526E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067540">
                        <w:rPr>
                          <w:rFonts w:ascii="Times New Roman" w:hAnsi="Times New Roman" w:cs="Times New Roman"/>
                          <w:szCs w:val="22"/>
                        </w:rPr>
                        <w:t>--------------------------------</w:t>
                      </w:r>
                    </w:p>
                    <w:p w:rsidR="00C8526E" w:rsidRPr="00067540" w:rsidRDefault="00C8526E" w:rsidP="00C8526E">
                      <w:pPr>
                        <w:pStyle w:val="ConsPlusNormal"/>
                        <w:spacing w:before="220"/>
                        <w:ind w:firstLine="54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bookmarkStart w:id="33" w:name="P3346"/>
                      <w:bookmarkEnd w:id="33"/>
                      <w:r w:rsidRPr="00067540">
                        <w:rPr>
                          <w:rFonts w:ascii="Times New Roman" w:hAnsi="Times New Roman" w:cs="Times New Roman"/>
                          <w:szCs w:val="22"/>
                        </w:rPr>
                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          </w:r>
                      <w:hyperlink w:anchor="P167" w:history="1">
                        <w:r w:rsidRPr="00067540">
                          <w:rPr>
                            <w:rFonts w:ascii="Times New Roman" w:hAnsi="Times New Roman" w:cs="Times New Roman"/>
                            <w:color w:val="0000FF"/>
                            <w:szCs w:val="22"/>
                          </w:rPr>
                          <w:t>пунктах 16</w:t>
                        </w:r>
                      </w:hyperlink>
                      <w:r w:rsidRPr="00067540">
                        <w:rPr>
                          <w:rFonts w:ascii="Times New Roman" w:hAnsi="Times New Roman" w:cs="Times New Roman"/>
                          <w:szCs w:val="22"/>
                        </w:rPr>
                        <w:t xml:space="preserve"> и </w:t>
                      </w:r>
                      <w:hyperlink w:anchor="P189" w:history="1">
                        <w:r w:rsidRPr="00067540">
                          <w:rPr>
                            <w:rFonts w:ascii="Times New Roman" w:hAnsi="Times New Roman" w:cs="Times New Roman"/>
                            <w:color w:val="0000FF"/>
                            <w:szCs w:val="22"/>
                          </w:rPr>
                          <w:t>17</w:t>
                        </w:r>
                      </w:hyperlink>
                      <w:r w:rsidRPr="00067540">
                        <w:rPr>
                          <w:rFonts w:ascii="Times New Roman" w:hAnsi="Times New Roman" w:cs="Times New Roman"/>
                          <w:szCs w:val="22"/>
                        </w:rPr>
          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                </w:r>
                    </w:p>
                    <w:p w:rsidR="00C8526E" w:rsidRPr="00067540" w:rsidRDefault="00C8526E" w:rsidP="00C8526E">
                      <w:pPr>
                        <w:pStyle w:val="ConsPlusNormal"/>
                        <w:spacing w:before="220"/>
                        <w:ind w:firstLine="54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bookmarkStart w:id="34" w:name="P3347"/>
                      <w:bookmarkEnd w:id="34"/>
                      <w:r w:rsidRPr="00067540">
                        <w:rPr>
                          <w:rFonts w:ascii="Times New Roman" w:hAnsi="Times New Roman" w:cs="Times New Roman"/>
                          <w:szCs w:val="22"/>
                        </w:rPr>
                        <w:t>&lt;**&gt; Не проводится в случае, если профилактический медицинский осмотр является частью первого этапа диспансеризации.</w:t>
                      </w:r>
                    </w:p>
                    <w:p w:rsidR="00C8526E" w:rsidRDefault="00C8526E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67540" w:rsidRPr="00EC5775" w:rsidRDefault="00067540" w:rsidP="002138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067540" w:rsidRPr="00EC5775" w:rsidSect="001B04A7">
      <w:pgSz w:w="16838" w:h="11905" w:orient="landscape"/>
      <w:pgMar w:top="709" w:right="568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09" w:rsidRDefault="00D12809" w:rsidP="00E14979">
      <w:pPr>
        <w:spacing w:after="0" w:line="240" w:lineRule="auto"/>
      </w:pPr>
      <w:r>
        <w:separator/>
      </w:r>
    </w:p>
  </w:endnote>
  <w:endnote w:type="continuationSeparator" w:id="0">
    <w:p w:rsidR="00D12809" w:rsidRDefault="00D12809" w:rsidP="00E1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09" w:rsidRDefault="00D12809" w:rsidP="00E14979">
      <w:pPr>
        <w:spacing w:after="0" w:line="240" w:lineRule="auto"/>
      </w:pPr>
      <w:r>
        <w:separator/>
      </w:r>
    </w:p>
  </w:footnote>
  <w:footnote w:type="continuationSeparator" w:id="0">
    <w:p w:rsidR="00D12809" w:rsidRDefault="00D12809" w:rsidP="00E1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0"/>
    <w:rsid w:val="00067540"/>
    <w:rsid w:val="0008001C"/>
    <w:rsid w:val="001B04A7"/>
    <w:rsid w:val="002138E5"/>
    <w:rsid w:val="00C63CC0"/>
    <w:rsid w:val="00C8526E"/>
    <w:rsid w:val="00D12809"/>
    <w:rsid w:val="00E14979"/>
    <w:rsid w:val="00EC5775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979"/>
  </w:style>
  <w:style w:type="paragraph" w:styleId="a5">
    <w:name w:val="footer"/>
    <w:basedOn w:val="a"/>
    <w:link w:val="a6"/>
    <w:uiPriority w:val="99"/>
    <w:unhideWhenUsed/>
    <w:rsid w:val="00E1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979"/>
  </w:style>
  <w:style w:type="paragraph" w:styleId="a5">
    <w:name w:val="footer"/>
    <w:basedOn w:val="a"/>
    <w:link w:val="a6"/>
    <w:uiPriority w:val="99"/>
    <w:unhideWhenUsed/>
    <w:rsid w:val="00E1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9535</Words>
  <Characters>54354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abc</cp:lastModifiedBy>
  <cp:revision>3</cp:revision>
  <dcterms:created xsi:type="dcterms:W3CDTF">2020-01-10T11:32:00Z</dcterms:created>
  <dcterms:modified xsi:type="dcterms:W3CDTF">2020-03-20T08:53:00Z</dcterms:modified>
</cp:coreProperties>
</file>